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9394A5" w14:textId="77777777" w:rsidR="002A0241" w:rsidRDefault="00000000">
      <w:pPr>
        <w:rPr>
          <w:rFonts w:asciiTheme="majorEastAsia" w:eastAsiaTheme="majorEastAsia" w:hAnsiTheme="majorEastAsia"/>
          <w:sz w:val="36"/>
          <w:szCs w:val="36"/>
          <w:lang w:eastAsia="zh-Hans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Hans"/>
        </w:rPr>
        <w:t>附件</w:t>
      </w:r>
      <w:r>
        <w:rPr>
          <w:rFonts w:asciiTheme="majorEastAsia" w:eastAsiaTheme="majorEastAsia" w:hAnsiTheme="majorEastAsia"/>
          <w:sz w:val="36"/>
          <w:szCs w:val="36"/>
          <w:lang w:eastAsia="zh-Hans"/>
        </w:rPr>
        <w:t>1</w:t>
      </w:r>
    </w:p>
    <w:p w14:paraId="5CBA6A36" w14:textId="77777777" w:rsidR="002A0241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2023年四川师范大学同等学力申请</w:t>
      </w:r>
    </w:p>
    <w:p w14:paraId="76898596" w14:textId="77777777" w:rsidR="002A0241" w:rsidRDefault="00000000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硕士学位招生简章</w:t>
      </w:r>
    </w:p>
    <w:p w14:paraId="14D6C1E2" w14:textId="77777777" w:rsidR="002A0241" w:rsidRDefault="00000000">
      <w:pPr>
        <w:ind w:firstLine="600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一、学校简介</w:t>
      </w:r>
    </w:p>
    <w:p w14:paraId="0DD8AE48" w14:textId="77777777" w:rsidR="002A0241" w:rsidRDefault="00000000">
      <w:pPr>
        <w:pStyle w:val="a3"/>
        <w:spacing w:before="0" w:beforeAutospacing="0" w:after="150" w:afterAutospacing="0" w:line="450" w:lineRule="atLeast"/>
        <w:ind w:firstLine="480"/>
        <w:jc w:val="both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kern w:val="2"/>
          <w:sz w:val="30"/>
          <w:szCs w:val="30"/>
        </w:rPr>
        <w:t>四川师范大学创建于1946年，是四川省属重点大学、国家首批“中西部高校基础能力建设工程”实施高校及全国深化创新创业教育改革示范校，是四川省举办本科师范教育最早、师范类院校中办学历史最为悠久的大学。学校是全国首批硕士授权单位，第十批博士授权单位，举办有文学、理学、工学、哲学、经济学、管理学、法学、历史学、教育学、艺术学、农学等十一个学科门类。建设有2个博士后流动站、7个博士学位授权一级学科（中国语言文学、教育学、数学、心理学、中国史、物理学、化学）、26个硕士学位授权一级学科、14个硕士专业学位授权类别、79个本科专业，其中省级重点学科建设项目4个、一级学科省级重点学科2个、二级学科省级重点学科17个；建设有教育部人文社科重点研究基地1个、教育部重点实验室1个、四川省重点实验室1个、四川省“2011”协同创新中心3个，四川省哲学社会科学重点研究基地4个，四川省高校重点实验室、四川省国别研究中心、四川省工程实验室10个，建有四川省省级大学科技园。</w:t>
      </w:r>
    </w:p>
    <w:p w14:paraId="4CA2B5F4" w14:textId="77777777" w:rsidR="002A0241" w:rsidRDefault="00000000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同等学力</w:t>
      </w:r>
      <w:r>
        <w:rPr>
          <w:rFonts w:ascii="仿宋" w:eastAsia="仿宋" w:hAnsi="仿宋" w:hint="eastAsia"/>
          <w:sz w:val="30"/>
          <w:szCs w:val="30"/>
        </w:rPr>
        <w:t>申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硕是国家为有学位提升需求的在职人员开辟的提升学位的重要渠道，也是众多在职人员获得硕士学位的重要途径。我校肩负有引领区域教师教育发展、服务国家重大需求的使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命，</w:t>
      </w:r>
      <w:r>
        <w:rPr>
          <w:rFonts w:ascii="仿宋" w:eastAsia="仿宋" w:hAnsi="仿宋" w:hint="eastAsia"/>
          <w:sz w:val="30"/>
          <w:szCs w:val="30"/>
        </w:rPr>
        <w:t>为提升区域教师水平、服务乡村振兴战略，我校积极开展同等学力申请硕士学位课程学习班。</w:t>
      </w:r>
    </w:p>
    <w:p w14:paraId="192B3B84" w14:textId="77777777" w:rsidR="002A0241" w:rsidRDefault="00000000">
      <w:pPr>
        <w:ind w:firstLineChars="200" w:firstLine="602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二、报名条件</w:t>
      </w:r>
    </w:p>
    <w:p w14:paraId="2A9703AE" w14:textId="77777777" w:rsidR="002A0241" w:rsidRDefault="00000000">
      <w:pPr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拥护中华人民共和国宪法、遵守法律、法规，具有良好的政治思想品德和道德修养，身体健康；</w:t>
      </w:r>
    </w:p>
    <w:p w14:paraId="7E75040C" w14:textId="77777777" w:rsidR="002A0241" w:rsidRDefault="00000000">
      <w:pPr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2.已获得国家承认的大学本科学历，且已经获得学士及学士以上学位三年以上（含三年），已获得的学位证书可以通过国家学位认证；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</w:p>
    <w:p w14:paraId="6A293864" w14:textId="77777777" w:rsidR="002A0241" w:rsidRDefault="00000000">
      <w:pPr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3.对已获得的学士学位为国（境）外学位的，其所获得的国（境）外学位需经教育部留学服务中心认证。</w:t>
      </w:r>
    </w:p>
    <w:p w14:paraId="4A65543B" w14:textId="77777777" w:rsidR="002A0241" w:rsidRDefault="00000000">
      <w:pPr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三、报名流程</w:t>
      </w:r>
    </w:p>
    <w:p w14:paraId="2C5D3799" w14:textId="77777777" w:rsidR="002A0241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1.符合条件的申请人登录“中国高等教育学生信息网”(学信网)，在“全国同等学力人员申请硕士学位管理工作平台”(</w:t>
      </w:r>
      <w:hyperlink r:id="rId7" w:history="1">
        <w:r>
          <w:rPr>
            <w:rStyle w:val="a4"/>
            <w:rFonts w:ascii="仿宋" w:eastAsia="仿宋" w:hAnsi="仿宋" w:hint="eastAsia"/>
            <w:sz w:val="30"/>
            <w:szCs w:val="30"/>
          </w:rPr>
          <w:t>https://tdxl.chsi.com.cn/tdxlsqxt/index.html</w:t>
        </w:r>
      </w:hyperlink>
      <w:r>
        <w:rPr>
          <w:rFonts w:ascii="仿宋" w:eastAsia="仿宋" w:hAnsi="仿宋" w:hint="eastAsia"/>
          <w:sz w:val="30"/>
          <w:szCs w:val="30"/>
        </w:rPr>
        <w:t>)进行注册，按要求完成网上申请。考生网上申请成功后，在四川师范大学规定时间和指定地点进行现场确认。</w:t>
      </w:r>
    </w:p>
    <w:p w14:paraId="0F2AAC19" w14:textId="77777777" w:rsidR="002A0241" w:rsidRDefault="00000000">
      <w:pPr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2.现场确认</w:t>
      </w:r>
    </w:p>
    <w:p w14:paraId="7318E171" w14:textId="77777777" w:rsidR="002A0241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现场确认时需要提交以下材料:</w:t>
      </w:r>
    </w:p>
    <w:p w14:paraId="1C8DAC41" w14:textId="77777777" w:rsidR="002A0241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(1)本人身份证(原件及复印件)</w:t>
      </w:r>
    </w:p>
    <w:p w14:paraId="02160B5D" w14:textId="77777777" w:rsidR="002A0241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(2)本人学历证书、学士学位证书(原件及复印件)、学位认证报告或学位在线认证报告(原件)</w:t>
      </w:r>
    </w:p>
    <w:p w14:paraId="22BEA8C8" w14:textId="77777777" w:rsidR="002A0241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(3)《四川师范大学同等学力人员申请硕士学位报名表》</w:t>
      </w:r>
    </w:p>
    <w:p w14:paraId="075DCAC4" w14:textId="77777777" w:rsidR="002A0241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申请人在学校规定时间，到</w:t>
      </w:r>
      <w:r>
        <w:rPr>
          <w:rFonts w:ascii="仿宋" w:eastAsia="仿宋" w:hAnsi="仿宋" w:cs="仿宋" w:hint="eastAsia"/>
          <w:sz w:val="32"/>
          <w:szCs w:val="32"/>
        </w:rPr>
        <w:t>雅安开放大学</w:t>
      </w:r>
      <w:r>
        <w:rPr>
          <w:rFonts w:ascii="仿宋" w:eastAsia="仿宋" w:hAnsi="仿宋" w:hint="eastAsia"/>
          <w:sz w:val="30"/>
          <w:szCs w:val="30"/>
        </w:rPr>
        <w:t>进行现场确认，签署(关于报考四川师范大学同等学力申硕课程学习班知情承诺书》，完成现场拍照和指纹采集，在《同等学力人员申请硕士学位全国统一考试资格审查表》上签字确认。</w:t>
      </w:r>
    </w:p>
    <w:p w14:paraId="34387DF9" w14:textId="77777777" w:rsidR="002A0241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报名信息一经签字确认，一律不得更改，通过申请人提交的学历证书、学位证书、论文、专著等必须真实有效，凡弄虚作假，一经查实，立即取消申请资格，造成的后果由考生自行承担。</w:t>
      </w:r>
    </w:p>
    <w:p w14:paraId="764578D8" w14:textId="77777777" w:rsidR="002A0241" w:rsidRDefault="00000000">
      <w:pPr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3.全国统一考试</w:t>
      </w:r>
    </w:p>
    <w:p w14:paraId="6239E9EE" w14:textId="77777777" w:rsidR="002A0241" w:rsidRDefault="00000000">
      <w:pPr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员现场确认后，才能进行同等学力全国统一考试的报考。考生按照教育部考试院网报系统要求，完成网报缴费、打印准考证、参加全国统考。同等学力全国统一考试每年一次，考生需在现场确认后4年内通过同等学力全国统一考试。按照同等学力申硕考试科目要求，4年内未通过全国统考者，学校不再接受学位申请。</w:t>
      </w:r>
    </w:p>
    <w:p w14:paraId="62D04C37" w14:textId="77777777" w:rsidR="002A0241" w:rsidRDefault="00000000">
      <w:pPr>
        <w:ind w:firstLineChars="250" w:firstLine="75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四、招生专业</w:t>
      </w:r>
    </w:p>
    <w:tbl>
      <w:tblPr>
        <w:tblW w:w="8514" w:type="dxa"/>
        <w:jc w:val="center"/>
        <w:shd w:val="clear" w:color="auto" w:fill="CDD4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84"/>
        <w:gridCol w:w="2127"/>
        <w:gridCol w:w="1631"/>
      </w:tblGrid>
      <w:tr w:rsidR="002A0241" w14:paraId="0E28F196" w14:textId="77777777">
        <w:trPr>
          <w:trHeight w:val="826"/>
          <w:jc w:val="center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8C460" w14:textId="77777777" w:rsidR="002A0241" w:rsidRDefault="000000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lang w:eastAsia="zh-TW"/>
              </w:rPr>
              <w:t>一级学科</w:t>
            </w: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29462" w14:textId="77777777" w:rsidR="002A0241" w:rsidRDefault="000000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lang w:eastAsia="zh-TW"/>
              </w:rPr>
              <w:t>全国统考科目学科综合水平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330AC" w14:textId="77777777" w:rsidR="002A0241" w:rsidRDefault="000000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lang w:eastAsia="zh-TW"/>
              </w:rPr>
              <w:t>全国统考科目外国语水平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EEB63" w14:textId="77777777" w:rsidR="002A0241" w:rsidRDefault="0000000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lang w:eastAsia="zh-TW"/>
              </w:rPr>
              <w:t>授予学位</w:t>
            </w:r>
          </w:p>
        </w:tc>
      </w:tr>
      <w:tr w:rsidR="002A0241" w14:paraId="7472CED3" w14:textId="77777777">
        <w:trPr>
          <w:trHeight w:val="1161"/>
          <w:jc w:val="center"/>
        </w:trPr>
        <w:tc>
          <w:tcPr>
            <w:tcW w:w="2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8B8F2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教育学</w:t>
            </w:r>
          </w:p>
          <w:p w14:paraId="566BF142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（教育学原理、</w:t>
            </w:r>
          </w:p>
          <w:p w14:paraId="0613468C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课程教学论、</w:t>
            </w:r>
          </w:p>
          <w:p w14:paraId="2C862CF9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学前教育）</w:t>
            </w: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80434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教育学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61E20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E864B" w14:textId="77777777" w:rsidR="002A0241" w:rsidRDefault="00000000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教育学硕士</w:t>
            </w:r>
          </w:p>
        </w:tc>
      </w:tr>
      <w:tr w:rsidR="002A0241" w14:paraId="3183D60C" w14:textId="77777777">
        <w:trPr>
          <w:trHeight w:val="383"/>
          <w:jc w:val="center"/>
        </w:trPr>
        <w:tc>
          <w:tcPr>
            <w:tcW w:w="2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55DD9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E4EEE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6FF76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34D92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管理学硕士</w:t>
            </w:r>
          </w:p>
        </w:tc>
      </w:tr>
      <w:tr w:rsidR="002A0241" w14:paraId="4D1B9CE2" w14:textId="77777777">
        <w:trPr>
          <w:trHeight w:val="383"/>
          <w:jc w:val="center"/>
        </w:trPr>
        <w:tc>
          <w:tcPr>
            <w:tcW w:w="2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75584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法学</w:t>
            </w: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8638B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法学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FCD59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5A0ED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法学硕士</w:t>
            </w:r>
          </w:p>
        </w:tc>
      </w:tr>
      <w:tr w:rsidR="002A0241" w14:paraId="4665BC8D" w14:textId="77777777">
        <w:trPr>
          <w:trHeight w:val="383"/>
          <w:jc w:val="center"/>
        </w:trPr>
        <w:tc>
          <w:tcPr>
            <w:tcW w:w="2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E5C73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中国语言文学</w:t>
            </w: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D7328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中国语言文学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79508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D2309" w14:textId="77777777" w:rsidR="002A0241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文学硕士</w:t>
            </w:r>
          </w:p>
        </w:tc>
      </w:tr>
    </w:tbl>
    <w:p w14:paraId="47FF5479" w14:textId="77777777" w:rsidR="002A0241" w:rsidRDefault="002A0241">
      <w:pPr>
        <w:ind w:firstLineChars="250" w:firstLine="753"/>
        <w:jc w:val="center"/>
        <w:rPr>
          <w:rFonts w:ascii="仿宋" w:eastAsia="仿宋" w:hAnsi="仿宋"/>
          <w:b/>
          <w:sz w:val="30"/>
          <w:szCs w:val="30"/>
        </w:rPr>
      </w:pPr>
    </w:p>
    <w:p w14:paraId="29588B56" w14:textId="77777777" w:rsidR="002A0241" w:rsidRDefault="00000000">
      <w:pPr>
        <w:ind w:firstLineChars="250" w:firstLine="75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>五、</w:t>
      </w:r>
      <w:r>
        <w:rPr>
          <w:rFonts w:ascii="黑体" w:eastAsia="黑体" w:hAnsi="黑体" w:cs="黑体" w:hint="eastAsia"/>
          <w:b/>
          <w:sz w:val="32"/>
          <w:szCs w:val="32"/>
        </w:rPr>
        <w:t>课程学习及学位申请</w:t>
      </w:r>
    </w:p>
    <w:p w14:paraId="44E632DD" w14:textId="77777777" w:rsidR="002A0241" w:rsidRDefault="00000000">
      <w:pPr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1.第一阶段:课程学习</w:t>
      </w:r>
    </w:p>
    <w:p w14:paraId="4E3A3335" w14:textId="77777777" w:rsidR="002A0241" w:rsidRDefault="00000000">
      <w:pPr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/>
          <w:sz w:val="32"/>
          <w:szCs w:val="32"/>
        </w:rPr>
        <w:t>课程学习申请人通讨资格审查并完成微费后，进入研究生同等学力申硕课程学习，课程学习采用“网络直播+面授+网络平台”的形式。学员完成课程学习并通过课程考核后可获得“四川师范大学同等学力申请硕士学位课程结业证书”。</w:t>
      </w:r>
    </w:p>
    <w:p w14:paraId="29CB59D0" w14:textId="77777777" w:rsidR="002A0241" w:rsidRDefault="00000000">
      <w:pPr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2第二阶段:学位论文写作 答辩与授位</w:t>
      </w:r>
    </w:p>
    <w:p w14:paraId="79414711" w14:textId="77777777" w:rsidR="002A0241" w:rsidRDefault="0000000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同等学力申硕学员完成课程学习并考核合格者，在通过国家外语水平全国统一考试和学科综合水平全国统一考试后，可进入学位论文阶段的手续，开始论文开题写作。学员在一年内完成学位论文的攒写和答辩，经报四川师范大学学位评定委员会批准，授予硕士学位并颁发证书。</w:t>
      </w:r>
    </w:p>
    <w:p w14:paraId="58505474" w14:textId="77777777" w:rsidR="002A0241" w:rsidRDefault="00000000">
      <w:pPr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3.其他事项</w:t>
      </w:r>
    </w:p>
    <w:p w14:paraId="1CC4DAF5" w14:textId="77777777" w:rsidR="002A0241" w:rsidRDefault="0000000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第一、二阶段的学习限期不超过4年，逾期未办理相应手续或学位论文未能通过者，本次申请无效。</w:t>
      </w:r>
    </w:p>
    <w:p w14:paraId="4710A34C" w14:textId="77777777" w:rsidR="002A0241" w:rsidRDefault="00000000">
      <w:pPr>
        <w:ind w:firstLineChars="200" w:firstLine="640"/>
        <w:jc w:val="left"/>
        <w:rPr>
          <w:rFonts w:ascii="宋体" w:eastAsia="宋体" w:hAnsi="宋体" w:cs="宋体"/>
          <w:sz w:val="24"/>
        </w:rPr>
      </w:pPr>
      <w:r>
        <w:rPr>
          <w:rFonts w:ascii="仿宋" w:eastAsia="仿宋" w:hAnsi="仿宋" w:cs="仿宋"/>
          <w:sz w:val="32"/>
          <w:szCs w:val="32"/>
        </w:rPr>
        <w:t>如论文答辩未通过，但论文答辩委员会建议修改论文后再重新答辩者，可在半年后至一年内申请重新答辩一次。答辩仍未通过或通期申请者，本次申请无效。</w:t>
      </w:r>
    </w:p>
    <w:p w14:paraId="64558096" w14:textId="77777777" w:rsidR="002A0241" w:rsidRDefault="00000000">
      <w:pPr>
        <w:ind w:firstLine="600"/>
        <w:rPr>
          <w:rFonts w:ascii="黑体" w:eastAsia="黑体" w:hAnsi="黑体" w:cs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>六、关于费用</w:t>
      </w:r>
    </w:p>
    <w:p w14:paraId="3F32DC80" w14:textId="77777777" w:rsidR="002A0241" w:rsidRDefault="00000000">
      <w:pPr>
        <w:ind w:leftChars="284" w:left="596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1.费用按照四川师范大学下发收费标准执行。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ab/>
      </w:r>
    </w:p>
    <w:p w14:paraId="1D41E475" w14:textId="77777777" w:rsidR="002A0241" w:rsidRDefault="00000000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2.学员分两阶段在学校缴费平台上完成缴费，第一阶段缴纳总费用的60%，第二阶段缴纳总费用的40%。</w:t>
      </w:r>
    </w:p>
    <w:p w14:paraId="03E61AB3" w14:textId="77777777" w:rsidR="002A0241" w:rsidRDefault="00000000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3.课程学习费用不包括教材、学习资料费，国家外语水平和学科综合水平全国统一考试报考费。学员如果参加相应课程的培训班，培训费用自理。</w:t>
      </w:r>
    </w:p>
    <w:p w14:paraId="2D9AEF5D" w14:textId="7F79D867" w:rsidR="002A0241" w:rsidRDefault="006C709F">
      <w:pPr>
        <w:rPr>
          <w:rFonts w:ascii="黑体" w:eastAsia="黑体" w:hAnsi="黑体" w:cs="黑体"/>
          <w:sz w:val="30"/>
          <w:szCs w:val="30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6188414" wp14:editId="654697E3">
            <wp:simplePos x="0" y="0"/>
            <wp:positionH relativeFrom="margin">
              <wp:align>center</wp:align>
            </wp:positionH>
            <wp:positionV relativeFrom="paragraph">
              <wp:posOffset>609600</wp:posOffset>
            </wp:positionV>
            <wp:extent cx="3002280" cy="5867400"/>
            <wp:effectExtent l="0" t="0" r="7620" b="0"/>
            <wp:wrapTight wrapText="bothSides">
              <wp:wrapPolygon edited="0">
                <wp:start x="0" y="0"/>
                <wp:lineTo x="0" y="21530"/>
                <wp:lineTo x="21518" y="21530"/>
                <wp:lineTo x="21518" y="0"/>
                <wp:lineTo x="0" y="0"/>
              </wp:wrapPolygon>
            </wp:wrapTight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4" t="7242" r="6138" b="2746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黑体" w:eastAsia="黑体" w:hAnsi="黑体" w:cs="黑体" w:hint="eastAsia"/>
          <w:sz w:val="30"/>
          <w:szCs w:val="30"/>
        </w:rPr>
        <w:t xml:space="preserve">    七、申请人学位申请流程</w:t>
      </w:r>
    </w:p>
    <w:p w14:paraId="2BDD8E50" w14:textId="4E0E5301" w:rsidR="002A0241" w:rsidRDefault="002A0241" w:rsidP="006C709F">
      <w:pPr>
        <w:rPr>
          <w:rFonts w:ascii="仿宋" w:eastAsia="仿宋" w:hAnsi="仿宋" w:hint="eastAsia"/>
          <w:sz w:val="30"/>
          <w:szCs w:val="30"/>
        </w:rPr>
        <w:sectPr w:rsidR="002A02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98A08D3" w14:textId="77777777" w:rsidR="002A0241" w:rsidRDefault="002A0241">
      <w:pPr>
        <w:rPr>
          <w:rFonts w:ascii="仿宋" w:eastAsia="仿宋" w:hAnsi="仿宋" w:hint="eastAsia"/>
          <w:sz w:val="30"/>
          <w:szCs w:val="30"/>
          <w:lang w:eastAsia="zh-Hans"/>
        </w:rPr>
      </w:pPr>
    </w:p>
    <w:sectPr w:rsidR="002A0241">
      <w:footerReference w:type="default" r:id="rId9"/>
      <w:pgSz w:w="11910" w:h="16840"/>
      <w:pgMar w:top="1431" w:right="890" w:bottom="1695" w:left="1004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2717" w14:textId="77777777" w:rsidR="00175F92" w:rsidRDefault="00175F92">
      <w:r>
        <w:separator/>
      </w:r>
    </w:p>
  </w:endnote>
  <w:endnote w:type="continuationSeparator" w:id="0">
    <w:p w14:paraId="45CD7F58" w14:textId="77777777" w:rsidR="00175F92" w:rsidRDefault="001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黑体-简">
    <w:altName w:val="黑体"/>
    <w:charset w:val="86"/>
    <w:family w:val="auto"/>
    <w:pitch w:val="default"/>
    <w:sig w:usb0="00000000" w:usb1="00000000" w:usb2="00000000" w:usb3="00000000" w:csb0="001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2499" w14:textId="77777777" w:rsidR="002A0241" w:rsidRDefault="00000000">
    <w:pPr>
      <w:spacing w:line="192" w:lineRule="auto"/>
      <w:ind w:left="367"/>
      <w:rPr>
        <w:rFonts w:ascii="仿宋" w:eastAsia="仿宋" w:hAnsi="仿宋" w:cs="仿宋"/>
        <w:sz w:val="20"/>
        <w:szCs w:val="20"/>
      </w:rPr>
    </w:pPr>
    <w:r>
      <w:rPr>
        <w:rFonts w:ascii="仿宋" w:eastAsia="仿宋" w:hAnsi="仿宋" w:cs="仿宋"/>
        <w:spacing w:val="5"/>
        <w:sz w:val="20"/>
        <w:szCs w:val="20"/>
      </w:rPr>
      <w:t>-</w:t>
    </w:r>
    <w:r>
      <w:rPr>
        <w:rFonts w:ascii="仿宋" w:eastAsia="仿宋" w:hAnsi="仿宋" w:cs="仿宋"/>
        <w:spacing w:val="4"/>
        <w:sz w:val="20"/>
        <w:szCs w:val="20"/>
      </w:rPr>
      <w:t xml:space="preserve"> 10 -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099" w14:textId="77777777" w:rsidR="00175F92" w:rsidRDefault="00175F92">
      <w:r>
        <w:separator/>
      </w:r>
    </w:p>
  </w:footnote>
  <w:footnote w:type="continuationSeparator" w:id="0">
    <w:p w14:paraId="2DFBE512" w14:textId="77777777" w:rsidR="00175F92" w:rsidRDefault="0017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8C29"/>
    <w:multiLevelType w:val="singleLevel"/>
    <w:tmpl w:val="77198C2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2221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NiZDhlZDcxNzQ4Y2JkYmRlMjM4MzYwMmM5NTU1YjYifQ=="/>
  </w:docVars>
  <w:rsids>
    <w:rsidRoot w:val="66E76289"/>
    <w:rsid w:val="66E76289"/>
    <w:rsid w:val="BDF95C25"/>
    <w:rsid w:val="BF772592"/>
    <w:rsid w:val="CFFFE71F"/>
    <w:rsid w:val="DE7D1914"/>
    <w:rsid w:val="FB477DD8"/>
    <w:rsid w:val="00175F92"/>
    <w:rsid w:val="002A0241"/>
    <w:rsid w:val="006C709F"/>
    <w:rsid w:val="007A70C0"/>
    <w:rsid w:val="00AA3163"/>
    <w:rsid w:val="00E1473C"/>
    <w:rsid w:val="01FB1C7B"/>
    <w:rsid w:val="029500F9"/>
    <w:rsid w:val="02FB5363"/>
    <w:rsid w:val="0544228B"/>
    <w:rsid w:val="07E03187"/>
    <w:rsid w:val="09E1165C"/>
    <w:rsid w:val="0F074320"/>
    <w:rsid w:val="0F2D538F"/>
    <w:rsid w:val="293848B6"/>
    <w:rsid w:val="2E645ADA"/>
    <w:rsid w:val="2F5C0536"/>
    <w:rsid w:val="355C1634"/>
    <w:rsid w:val="35BE6022"/>
    <w:rsid w:val="368E0B0D"/>
    <w:rsid w:val="36EE7F3A"/>
    <w:rsid w:val="38AD3393"/>
    <w:rsid w:val="3B52516F"/>
    <w:rsid w:val="3FCF8F26"/>
    <w:rsid w:val="432A5092"/>
    <w:rsid w:val="458501BC"/>
    <w:rsid w:val="4BC10816"/>
    <w:rsid w:val="4E612CB3"/>
    <w:rsid w:val="51BC6468"/>
    <w:rsid w:val="582C1A8F"/>
    <w:rsid w:val="59FD5C7B"/>
    <w:rsid w:val="61D55F51"/>
    <w:rsid w:val="63B64602"/>
    <w:rsid w:val="66E76289"/>
    <w:rsid w:val="679F43AE"/>
    <w:rsid w:val="6C15502B"/>
    <w:rsid w:val="6F3E6060"/>
    <w:rsid w:val="74E55802"/>
    <w:rsid w:val="7ACD3F33"/>
    <w:rsid w:val="7EBF0566"/>
    <w:rsid w:val="AFB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A240F1"/>
  <w15:docId w15:val="{2EAC1BF8-90D3-4044-804D-374BE395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黑体-简" w:hAnsi="DejaVu San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rPr>
      <w:rFonts w:ascii="Times New Roman" w:eastAsia="黑体-简" w:hAnsi="Times New Roman"/>
      <w:sz w:val="24"/>
    </w:rPr>
  </w:style>
  <w:style w:type="paragraph" w:styleId="TOC1">
    <w:name w:val="toc 1"/>
    <w:basedOn w:val="a"/>
    <w:next w:val="a"/>
    <w:qFormat/>
    <w:rPr>
      <w:rFonts w:ascii="Times New Roman" w:eastAsia="黑体-简" w:hAnsi="Times New Roman"/>
      <w:sz w:val="32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WPSOffice1">
    <w:name w:val="WPSOffice手动目录 1"/>
    <w:qFormat/>
    <w:pPr>
      <w:spacing w:line="400" w:lineRule="exact"/>
    </w:pPr>
    <w:rPr>
      <w:rFonts w:eastAsia="黑体-简" w:cstheme="minorBidi"/>
      <w:sz w:val="32"/>
    </w:rPr>
  </w:style>
  <w:style w:type="paragraph" w:customStyle="1" w:styleId="WPSOffice2">
    <w:name w:val="WPSOffice手动目录 2"/>
    <w:qFormat/>
    <w:pPr>
      <w:spacing w:line="400" w:lineRule="exact"/>
    </w:pPr>
    <w:rPr>
      <w:rFonts w:eastAsia="黑体-简" w:cstheme="minorBidi"/>
      <w:sz w:val="2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dxl.chsi.com.cn/tdxlsqx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方格子1381417518</dc:creator>
  <cp:lastModifiedBy>刘 翌龙</cp:lastModifiedBy>
  <cp:revision>2</cp:revision>
  <dcterms:created xsi:type="dcterms:W3CDTF">2023-08-23T09:55:00Z</dcterms:created>
  <dcterms:modified xsi:type="dcterms:W3CDTF">2023-08-23T09:55:00Z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9951274ACFBF4D77AA7B7350FD873E60</vt:lpwstr>
  </property>
</Properties>
</file>